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様式第６号（第１２条関係）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奨励金交付請求書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町企業誘致条例施行規則第１２条第１項の規定により、次のとおり奨励金の交付を請求します。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880"/>
        <w:gridCol w:w="1680"/>
        <w:gridCol w:w="1609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事業所の種類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□事業所の増設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交付請求額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交付請求額内訳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□施設奨励金（　　年目）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</w:trPr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8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□雇用促進奨励金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</w:trPr>
        <w:tc>
          <w:tcPr>
            <w:tcW w:w="3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□法人町民税奨励金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□水道加入金相当額奨励金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□埋蔵文化財調査奨励金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195</Words>
  <Characters>195</Characters>
  <Application>JUST Note</Application>
  <Lines>0</Lines>
  <Paragraphs>0</Paragraphs>
  <CharactersWithSpaces>241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2014-03-25T19:42:00Z</cp:lastPrinted>
  <dcterms:created xsi:type="dcterms:W3CDTF">2017-01-31T07:42:00Z</dcterms:created>
  <dcterms:modified xsi:type="dcterms:W3CDTF">2018-02-02T00:09:23Z</dcterms:modified>
  <cp:revision>5</cp:revision>
</cp:coreProperties>
</file>